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B758D" w14:textId="2C9FD470" w:rsidR="004C1F11" w:rsidRPr="00BB79FF" w:rsidRDefault="00263CF5" w:rsidP="00332F0E">
      <w:pPr>
        <w:spacing w:line="360" w:lineRule="auto"/>
        <w:jc w:val="both"/>
        <w:rPr>
          <w:rFonts w:ascii="Times New Roman" w:hAnsi="Times New Roman" w:cs="Times New Roman"/>
          <w:b/>
          <w:bCs/>
          <w:i/>
          <w:iCs/>
          <w:sz w:val="21"/>
          <w:szCs w:val="21"/>
        </w:rPr>
      </w:pPr>
      <w:r w:rsidRPr="00BB79FF">
        <w:rPr>
          <w:rFonts w:ascii="Times New Roman" w:hAnsi="Times New Roman" w:cs="Times New Roman"/>
          <w:b/>
          <w:bCs/>
          <w:i/>
          <w:iCs/>
          <w:sz w:val="21"/>
          <w:szCs w:val="21"/>
        </w:rPr>
        <w:t>E</w:t>
      </w:r>
      <w:r w:rsidR="00F70FE0" w:rsidRPr="00BB79FF">
        <w:rPr>
          <w:rFonts w:ascii="Times New Roman" w:hAnsi="Times New Roman" w:cs="Times New Roman"/>
          <w:b/>
          <w:bCs/>
          <w:i/>
          <w:iCs/>
          <w:sz w:val="21"/>
          <w:szCs w:val="21"/>
        </w:rPr>
        <w:t>conomie maritime en mutation : enjeux, défis et opportunités pour les ports d’Afrique de l’Ouest face à la mondialisation</w:t>
      </w:r>
    </w:p>
    <w:p w14:paraId="7BD2FCCE" w14:textId="0931EEDF" w:rsidR="0028190E" w:rsidRPr="00BB79FF" w:rsidRDefault="0028190E" w:rsidP="00332F0E">
      <w:pPr>
        <w:spacing w:line="360" w:lineRule="auto"/>
        <w:jc w:val="both"/>
        <w:rPr>
          <w:rFonts w:ascii="Times New Roman" w:hAnsi="Times New Roman" w:cs="Times New Roman"/>
          <w:b/>
          <w:bCs/>
          <w:sz w:val="21"/>
          <w:szCs w:val="21"/>
        </w:rPr>
      </w:pPr>
      <w:r w:rsidRPr="00BB79FF">
        <w:rPr>
          <w:rFonts w:ascii="Times New Roman" w:hAnsi="Times New Roman" w:cs="Times New Roman"/>
          <w:b/>
          <w:bCs/>
          <w:noProof/>
          <w:sz w:val="20"/>
          <w:szCs w:val="21"/>
          <w:lang w:eastAsia="fr-FR"/>
        </w:rPr>
        <w:drawing>
          <wp:inline distT="0" distB="0" distL="0" distR="0" wp14:anchorId="24860412" wp14:editId="49AAEACD">
            <wp:extent cx="5722620" cy="2484120"/>
            <wp:effectExtent l="0" t="0" r="0" b="0"/>
            <wp:docPr id="112259219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2620" cy="2484120"/>
                    </a:xfrm>
                    <a:prstGeom prst="rect">
                      <a:avLst/>
                    </a:prstGeom>
                    <a:noFill/>
                    <a:ln>
                      <a:noFill/>
                    </a:ln>
                  </pic:spPr>
                </pic:pic>
              </a:graphicData>
            </a:graphic>
          </wp:inline>
        </w:drawing>
      </w:r>
    </w:p>
    <w:p w14:paraId="13A603E0" w14:textId="29335C7B" w:rsidR="004C1F11" w:rsidRPr="00BB79FF" w:rsidRDefault="004C1F11" w:rsidP="00332F0E">
      <w:pPr>
        <w:spacing w:line="360" w:lineRule="auto"/>
        <w:jc w:val="both"/>
        <w:rPr>
          <w:rFonts w:ascii="Times New Roman" w:hAnsi="Times New Roman" w:cs="Times New Roman"/>
          <w:sz w:val="21"/>
          <w:szCs w:val="21"/>
        </w:rPr>
      </w:pPr>
      <w:r w:rsidRPr="00BB79FF">
        <w:rPr>
          <w:rFonts w:ascii="Times New Roman" w:hAnsi="Times New Roman" w:cs="Times New Roman"/>
          <w:sz w:val="21"/>
          <w:szCs w:val="21"/>
        </w:rPr>
        <w:t xml:space="preserve">L’économie maritime, définie comme l’ensemble des activités économiques liées directement ou indirectement à la mer, aux ports et au transport maritime (OECD, 2016), représente un levier fondamental de développement économique pour les pays côtiers, notamment en Afrique de l’Ouest. Dans un contexte de mondialisation croissante, les ports jouent un rôle stratégique dans la compétitivité des nations (Notteboom &amp; Rodrigue, 2021). En Afrique, près de </w:t>
      </w:r>
      <w:r w:rsidRPr="00BB79FF">
        <w:rPr>
          <w:rFonts w:ascii="Times New Roman" w:hAnsi="Times New Roman" w:cs="Times New Roman"/>
          <w:bCs/>
          <w:sz w:val="21"/>
          <w:szCs w:val="21"/>
        </w:rPr>
        <w:t>90 % des échanges extérieurs</w:t>
      </w:r>
      <w:r w:rsidRPr="00BB79FF">
        <w:rPr>
          <w:rFonts w:ascii="Times New Roman" w:hAnsi="Times New Roman" w:cs="Times New Roman"/>
          <w:sz w:val="21"/>
          <w:szCs w:val="21"/>
        </w:rPr>
        <w:t xml:space="preserve"> s’effectuent par voie maritime (UNCTAD, 2023), faisant du secteur portuaire un pilier incontournable de la croissance régionale.</w:t>
      </w:r>
      <w:r w:rsidR="00BB79FF" w:rsidRPr="00BB79FF">
        <w:rPr>
          <w:rFonts w:ascii="Times New Roman" w:hAnsi="Times New Roman" w:cs="Times New Roman"/>
          <w:sz w:val="21"/>
          <w:szCs w:val="21"/>
        </w:rPr>
        <w:t xml:space="preserve"> </w:t>
      </w:r>
      <w:r w:rsidRPr="00BB79FF">
        <w:rPr>
          <w:rFonts w:ascii="Times New Roman" w:hAnsi="Times New Roman" w:cs="Times New Roman"/>
          <w:sz w:val="21"/>
          <w:szCs w:val="21"/>
        </w:rPr>
        <w:t>Cependant, malgré leur potentiel géostratégique, les ports ouest-africains sont confrontés à de multiples contraintes : infrastructures vieillissantes, lenteurs administratives, vulnérabilités environnementales, et gouvernance inefficiente (Coulibaly &amp; Sow, 2020). Ce déséquilibre entre potentiel et performance invite à une analyse critique des dynamiques de transformation du secteur, dans le but d’identifier les leviers d’amélioration et d’innovation pour une économie maritime durable et compétitive.</w:t>
      </w:r>
    </w:p>
    <w:p w14:paraId="62EF6118" w14:textId="716A8009" w:rsidR="004C1F11" w:rsidRPr="00BB79FF" w:rsidRDefault="004C1F11" w:rsidP="00332F0E">
      <w:pPr>
        <w:spacing w:line="360" w:lineRule="auto"/>
        <w:jc w:val="both"/>
        <w:rPr>
          <w:rFonts w:ascii="Times New Roman" w:hAnsi="Times New Roman" w:cs="Times New Roman"/>
          <w:b/>
          <w:bCs/>
          <w:sz w:val="21"/>
          <w:szCs w:val="21"/>
        </w:rPr>
      </w:pPr>
      <w:r w:rsidRPr="00BB79FF">
        <w:rPr>
          <w:rFonts w:ascii="Times New Roman" w:hAnsi="Times New Roman" w:cs="Times New Roman"/>
          <w:b/>
          <w:bCs/>
          <w:sz w:val="21"/>
          <w:szCs w:val="21"/>
        </w:rPr>
        <w:t xml:space="preserve"> Analyse SWOT de l’économie maritime ouest-africaine</w:t>
      </w:r>
    </w:p>
    <w:tbl>
      <w:tblPr>
        <w:tblStyle w:val="Grilledutableau"/>
        <w:tblW w:w="0" w:type="auto"/>
        <w:tblLook w:val="04A0" w:firstRow="1" w:lastRow="0" w:firstColumn="1" w:lastColumn="0" w:noHBand="0" w:noVBand="1"/>
      </w:tblPr>
      <w:tblGrid>
        <w:gridCol w:w="4493"/>
        <w:gridCol w:w="4569"/>
      </w:tblGrid>
      <w:tr w:rsidR="004C1F11" w:rsidRPr="00BB79FF" w14:paraId="1828450E" w14:textId="77777777" w:rsidTr="004C1F11">
        <w:tc>
          <w:tcPr>
            <w:tcW w:w="0" w:type="auto"/>
            <w:hideMark/>
          </w:tcPr>
          <w:p w14:paraId="146CC2D1" w14:textId="77777777" w:rsidR="004C1F11" w:rsidRPr="00BB79FF" w:rsidRDefault="004C1F11" w:rsidP="001D6225">
            <w:pPr>
              <w:spacing w:after="160" w:line="360" w:lineRule="auto"/>
              <w:jc w:val="center"/>
              <w:rPr>
                <w:rFonts w:ascii="Times New Roman" w:hAnsi="Times New Roman" w:cs="Times New Roman"/>
                <w:b/>
                <w:bCs/>
                <w:sz w:val="21"/>
                <w:szCs w:val="21"/>
              </w:rPr>
            </w:pPr>
            <w:r w:rsidRPr="00BB79FF">
              <w:rPr>
                <w:rFonts w:ascii="Times New Roman" w:hAnsi="Times New Roman" w:cs="Times New Roman"/>
                <w:b/>
                <w:bCs/>
                <w:sz w:val="21"/>
                <w:szCs w:val="21"/>
              </w:rPr>
              <w:t>Forces (Strengths)</w:t>
            </w:r>
          </w:p>
        </w:tc>
        <w:tc>
          <w:tcPr>
            <w:tcW w:w="0" w:type="auto"/>
            <w:hideMark/>
          </w:tcPr>
          <w:p w14:paraId="2B7A9163" w14:textId="77777777" w:rsidR="004C1F11" w:rsidRPr="00BB79FF" w:rsidRDefault="004C1F11" w:rsidP="001D6225">
            <w:pPr>
              <w:spacing w:after="160" w:line="360" w:lineRule="auto"/>
              <w:jc w:val="center"/>
              <w:rPr>
                <w:rFonts w:ascii="Times New Roman" w:hAnsi="Times New Roman" w:cs="Times New Roman"/>
                <w:b/>
                <w:bCs/>
                <w:sz w:val="21"/>
                <w:szCs w:val="21"/>
              </w:rPr>
            </w:pPr>
            <w:r w:rsidRPr="00BB79FF">
              <w:rPr>
                <w:rFonts w:ascii="Times New Roman" w:hAnsi="Times New Roman" w:cs="Times New Roman"/>
                <w:b/>
                <w:bCs/>
                <w:sz w:val="21"/>
                <w:szCs w:val="21"/>
              </w:rPr>
              <w:t>Faiblesses (Weaknesses)</w:t>
            </w:r>
          </w:p>
        </w:tc>
      </w:tr>
      <w:tr w:rsidR="004C1F11" w:rsidRPr="00BB79FF" w14:paraId="67C2AB58" w14:textId="77777777" w:rsidTr="004C1F11">
        <w:tc>
          <w:tcPr>
            <w:tcW w:w="0" w:type="auto"/>
            <w:hideMark/>
          </w:tcPr>
          <w:p w14:paraId="5BEDE581" w14:textId="1F5A898C" w:rsidR="004C1F11" w:rsidRPr="00BB79FF" w:rsidRDefault="004C1F11" w:rsidP="00332F0E">
            <w:pPr>
              <w:spacing w:after="160"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Position géographique stratégique sur les routes maritimes Nord-Sud. </w:t>
            </w:r>
            <w:r w:rsidRPr="00BB79FF">
              <w:rPr>
                <w:rFonts w:ascii="Times New Roman" w:hAnsi="Times New Roman" w:cs="Times New Roman"/>
                <w:sz w:val="21"/>
                <w:szCs w:val="21"/>
              </w:rPr>
              <w:br/>
            </w: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Richesses halieutiques et minières. </w:t>
            </w:r>
            <w:r w:rsidRPr="00BB79FF">
              <w:rPr>
                <w:rFonts w:ascii="Times New Roman" w:hAnsi="Times New Roman" w:cs="Times New Roman"/>
                <w:sz w:val="21"/>
                <w:szCs w:val="21"/>
              </w:rPr>
              <w:br/>
            </w: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Ports à vocation régionale (ex. : Lomé, Cotonou Tema, Abidjan). </w:t>
            </w:r>
            <w:r w:rsidRPr="00BB79FF">
              <w:rPr>
                <w:rFonts w:ascii="Times New Roman" w:hAnsi="Times New Roman" w:cs="Times New Roman"/>
                <w:sz w:val="21"/>
                <w:szCs w:val="21"/>
              </w:rPr>
              <w:br/>
            </w: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Dynamique de modernisation amorcée.</w:t>
            </w:r>
          </w:p>
        </w:tc>
        <w:tc>
          <w:tcPr>
            <w:tcW w:w="0" w:type="auto"/>
            <w:hideMark/>
          </w:tcPr>
          <w:p w14:paraId="508A6146" w14:textId="77777777" w:rsidR="004C1F11" w:rsidRPr="00BB79FF" w:rsidRDefault="004C1F11" w:rsidP="00332F0E">
            <w:pPr>
              <w:spacing w:after="160"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Insuffisance des infrastructures et faiblesse des connexions hinterland. </w:t>
            </w:r>
            <w:r w:rsidRPr="00BB79FF">
              <w:rPr>
                <w:rFonts w:ascii="Times New Roman" w:hAnsi="Times New Roman" w:cs="Times New Roman"/>
                <w:sz w:val="21"/>
                <w:szCs w:val="21"/>
              </w:rPr>
              <w:br/>
            </w: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Faible digitalisation des opérations portuaires. </w:t>
            </w:r>
            <w:r w:rsidRPr="00BB79FF">
              <w:rPr>
                <w:rFonts w:ascii="Times New Roman" w:hAnsi="Times New Roman" w:cs="Times New Roman"/>
                <w:sz w:val="21"/>
                <w:szCs w:val="21"/>
              </w:rPr>
              <w:br/>
            </w: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Gouvernance fragmentée et corruption. </w:t>
            </w:r>
            <w:r w:rsidRPr="00BB79FF">
              <w:rPr>
                <w:rFonts w:ascii="Times New Roman" w:hAnsi="Times New Roman" w:cs="Times New Roman"/>
                <w:sz w:val="21"/>
                <w:szCs w:val="21"/>
              </w:rPr>
              <w:br/>
            </w: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Manque de coordination régionale dans la planification portuaire.</w:t>
            </w:r>
          </w:p>
        </w:tc>
      </w:tr>
      <w:tr w:rsidR="004C1F11" w:rsidRPr="00BB79FF" w14:paraId="497F8766" w14:textId="77777777" w:rsidTr="004C1F11">
        <w:tc>
          <w:tcPr>
            <w:tcW w:w="0" w:type="auto"/>
            <w:hideMark/>
          </w:tcPr>
          <w:p w14:paraId="323444E8" w14:textId="77777777" w:rsidR="004C1F11" w:rsidRPr="00BB79FF" w:rsidRDefault="004C1F11" w:rsidP="00332F0E">
            <w:pPr>
              <w:spacing w:after="160" w:line="360" w:lineRule="auto"/>
              <w:jc w:val="both"/>
              <w:rPr>
                <w:rFonts w:ascii="Times New Roman" w:hAnsi="Times New Roman" w:cs="Times New Roman"/>
                <w:b/>
                <w:bCs/>
                <w:sz w:val="21"/>
                <w:szCs w:val="21"/>
              </w:rPr>
            </w:pPr>
            <w:r w:rsidRPr="00BB79FF">
              <w:rPr>
                <w:rFonts w:ascii="Times New Roman" w:hAnsi="Times New Roman" w:cs="Times New Roman"/>
                <w:b/>
                <w:bCs/>
                <w:sz w:val="21"/>
                <w:szCs w:val="21"/>
              </w:rPr>
              <w:t>Opportunités (Opportunities)</w:t>
            </w:r>
          </w:p>
        </w:tc>
        <w:tc>
          <w:tcPr>
            <w:tcW w:w="0" w:type="auto"/>
            <w:hideMark/>
          </w:tcPr>
          <w:p w14:paraId="1A444E60" w14:textId="77777777" w:rsidR="004C1F11" w:rsidRPr="00BB79FF" w:rsidRDefault="004C1F11" w:rsidP="00332F0E">
            <w:pPr>
              <w:spacing w:after="160" w:line="360" w:lineRule="auto"/>
              <w:jc w:val="both"/>
              <w:rPr>
                <w:rFonts w:ascii="Times New Roman" w:hAnsi="Times New Roman" w:cs="Times New Roman"/>
                <w:b/>
                <w:bCs/>
                <w:sz w:val="21"/>
                <w:szCs w:val="21"/>
              </w:rPr>
            </w:pPr>
            <w:r w:rsidRPr="00BB79FF">
              <w:rPr>
                <w:rFonts w:ascii="Times New Roman" w:hAnsi="Times New Roman" w:cs="Times New Roman"/>
                <w:b/>
                <w:bCs/>
                <w:sz w:val="21"/>
                <w:szCs w:val="21"/>
              </w:rPr>
              <w:t>Menaces (Threats)</w:t>
            </w:r>
          </w:p>
        </w:tc>
      </w:tr>
      <w:tr w:rsidR="004C1F11" w:rsidRPr="00BB79FF" w14:paraId="7F1BC28E" w14:textId="77777777" w:rsidTr="004C1F11">
        <w:tc>
          <w:tcPr>
            <w:tcW w:w="0" w:type="auto"/>
            <w:hideMark/>
          </w:tcPr>
          <w:p w14:paraId="3C7A3BAE" w14:textId="77777777" w:rsidR="004C1F11" w:rsidRPr="00BB79FF" w:rsidRDefault="004C1F11" w:rsidP="00332F0E">
            <w:pPr>
              <w:spacing w:after="160" w:line="360" w:lineRule="auto"/>
              <w:jc w:val="both"/>
              <w:rPr>
                <w:rFonts w:ascii="Times New Roman" w:hAnsi="Times New Roman" w:cs="Times New Roman"/>
                <w:sz w:val="21"/>
                <w:szCs w:val="21"/>
              </w:rPr>
            </w:pPr>
            <w:r w:rsidRPr="00BB79FF">
              <w:rPr>
                <w:rFonts w:ascii="Segoe UI Symbol" w:hAnsi="Segoe UI Symbol" w:cs="Segoe UI Symbol"/>
                <w:sz w:val="21"/>
                <w:szCs w:val="21"/>
              </w:rPr>
              <w:lastRenderedPageBreak/>
              <w:t>✅</w:t>
            </w:r>
            <w:r w:rsidRPr="00BB79FF">
              <w:rPr>
                <w:rFonts w:ascii="Times New Roman" w:hAnsi="Times New Roman" w:cs="Times New Roman"/>
                <w:sz w:val="21"/>
                <w:szCs w:val="21"/>
              </w:rPr>
              <w:t xml:space="preserve"> Intégration régionale avec la ZLECAf. </w:t>
            </w:r>
            <w:r w:rsidRPr="00BB79FF">
              <w:rPr>
                <w:rFonts w:ascii="Times New Roman" w:hAnsi="Times New Roman" w:cs="Times New Roman"/>
                <w:sz w:val="21"/>
                <w:szCs w:val="21"/>
              </w:rPr>
              <w:br/>
            </w: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Accroissement du commerce intra-africain. </w:t>
            </w:r>
            <w:r w:rsidRPr="00BB79FF">
              <w:rPr>
                <w:rFonts w:ascii="Times New Roman" w:hAnsi="Times New Roman" w:cs="Times New Roman"/>
                <w:sz w:val="21"/>
                <w:szCs w:val="21"/>
              </w:rPr>
              <w:br/>
            </w: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Transition écologique et verdissement des ports. </w:t>
            </w:r>
            <w:r w:rsidRPr="00BB79FF">
              <w:rPr>
                <w:rFonts w:ascii="Times New Roman" w:hAnsi="Times New Roman" w:cs="Times New Roman"/>
                <w:sz w:val="21"/>
                <w:szCs w:val="21"/>
              </w:rPr>
              <w:br/>
            </w: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Développement des hubs logistiques.</w:t>
            </w:r>
          </w:p>
        </w:tc>
        <w:tc>
          <w:tcPr>
            <w:tcW w:w="0" w:type="auto"/>
            <w:hideMark/>
          </w:tcPr>
          <w:p w14:paraId="38506411" w14:textId="2E5247E1" w:rsidR="004C1F11" w:rsidRPr="00BB79FF" w:rsidRDefault="004C1F11" w:rsidP="00332F0E">
            <w:pPr>
              <w:spacing w:after="160" w:line="360" w:lineRule="auto"/>
              <w:jc w:val="both"/>
              <w:rPr>
                <w:rFonts w:ascii="Times New Roman" w:hAnsi="Times New Roman" w:cs="Times New Roman"/>
                <w:sz w:val="21"/>
                <w:szCs w:val="21"/>
              </w:rPr>
            </w:pPr>
            <w:r w:rsidRPr="00BB79FF">
              <w:rPr>
                <w:rFonts w:ascii="Times New Roman" w:hAnsi="Times New Roman" w:cs="Times New Roman"/>
                <w:sz w:val="21"/>
                <w:szCs w:val="21"/>
              </w:rPr>
              <w:t xml:space="preserve">-Concurrence régionale non coordonnée (effet de surcapacité). </w:t>
            </w:r>
            <w:r w:rsidRPr="00BB79FF">
              <w:rPr>
                <w:rFonts w:ascii="Times New Roman" w:hAnsi="Times New Roman" w:cs="Times New Roman"/>
                <w:sz w:val="21"/>
                <w:szCs w:val="21"/>
              </w:rPr>
              <w:br/>
              <w:t xml:space="preserve">- Inégalités d’investissements étrangers. </w:t>
            </w:r>
            <w:r w:rsidRPr="00BB79FF">
              <w:rPr>
                <w:rFonts w:ascii="Times New Roman" w:hAnsi="Times New Roman" w:cs="Times New Roman"/>
                <w:sz w:val="21"/>
                <w:szCs w:val="21"/>
              </w:rPr>
              <w:br/>
              <w:t xml:space="preserve">- Changement climatique (érosion côtière, montée des eaux). </w:t>
            </w:r>
            <w:r w:rsidRPr="00BB79FF">
              <w:rPr>
                <w:rFonts w:ascii="Times New Roman" w:hAnsi="Times New Roman" w:cs="Times New Roman"/>
                <w:sz w:val="21"/>
                <w:szCs w:val="21"/>
              </w:rPr>
              <w:br/>
              <w:t>- Insécurité maritime (piraterie, pollution accidentelle).</w:t>
            </w:r>
          </w:p>
        </w:tc>
      </w:tr>
    </w:tbl>
    <w:p w14:paraId="15894543" w14:textId="77777777" w:rsidR="00506E1C" w:rsidRPr="00BB79FF" w:rsidRDefault="00506E1C" w:rsidP="00332F0E">
      <w:pPr>
        <w:spacing w:line="360" w:lineRule="auto"/>
        <w:jc w:val="both"/>
        <w:rPr>
          <w:rFonts w:ascii="Times New Roman" w:hAnsi="Times New Roman" w:cs="Times New Roman"/>
          <w:sz w:val="21"/>
          <w:szCs w:val="21"/>
        </w:rPr>
      </w:pPr>
    </w:p>
    <w:p w14:paraId="7BA7B212" w14:textId="77777777" w:rsidR="004C1F11" w:rsidRPr="00BB79FF" w:rsidRDefault="004C1F11" w:rsidP="00332F0E">
      <w:pPr>
        <w:spacing w:line="360" w:lineRule="auto"/>
        <w:jc w:val="both"/>
        <w:rPr>
          <w:rFonts w:ascii="Times New Roman" w:hAnsi="Times New Roman" w:cs="Times New Roman"/>
          <w:b/>
          <w:sz w:val="21"/>
          <w:szCs w:val="21"/>
        </w:rPr>
      </w:pPr>
      <w:r w:rsidRPr="00BB79FF">
        <w:rPr>
          <w:rFonts w:ascii="Times New Roman" w:hAnsi="Times New Roman" w:cs="Times New Roman"/>
          <w:b/>
          <w:sz w:val="21"/>
          <w:szCs w:val="21"/>
        </w:rPr>
        <w:t>Perspectives et recommandations</w:t>
      </w:r>
    </w:p>
    <w:p w14:paraId="6B676249" w14:textId="77777777" w:rsidR="004C1F11" w:rsidRPr="00BB79FF" w:rsidRDefault="004C1F11" w:rsidP="00332F0E">
      <w:pPr>
        <w:spacing w:line="360" w:lineRule="auto"/>
        <w:jc w:val="both"/>
        <w:rPr>
          <w:rFonts w:ascii="Times New Roman" w:hAnsi="Times New Roman" w:cs="Times New Roman"/>
          <w:sz w:val="21"/>
          <w:szCs w:val="21"/>
        </w:rPr>
      </w:pPr>
      <w:r w:rsidRPr="00BB79FF">
        <w:rPr>
          <w:rFonts w:ascii="Times New Roman" w:hAnsi="Times New Roman" w:cs="Times New Roman"/>
          <w:sz w:val="21"/>
          <w:szCs w:val="21"/>
        </w:rPr>
        <w:t>Face aux défis identifiés dans l’analyse SWOT, une réponse cohérente et multisectorielle s’impose pour garantir la transformation durable du secteur maritime ouest-africain. Cinq axes prioritaires d’intervention se dégagent, alliant renforcement des capacités, innovation technologique, gouvernance, durabilité environnementale et formation du capital humain.</w:t>
      </w:r>
    </w:p>
    <w:p w14:paraId="78326D32" w14:textId="77777777" w:rsidR="004C1F11" w:rsidRPr="00BB79FF" w:rsidRDefault="004C1F11" w:rsidP="00332F0E">
      <w:pPr>
        <w:spacing w:line="360" w:lineRule="auto"/>
        <w:jc w:val="both"/>
        <w:rPr>
          <w:rFonts w:ascii="Times New Roman" w:hAnsi="Times New Roman" w:cs="Times New Roman"/>
          <w:sz w:val="21"/>
          <w:szCs w:val="21"/>
        </w:rPr>
      </w:pPr>
      <w:r w:rsidRPr="00BB79FF">
        <w:rPr>
          <w:rFonts w:ascii="Times New Roman" w:hAnsi="Times New Roman" w:cs="Times New Roman"/>
          <w:sz w:val="21"/>
          <w:szCs w:val="21"/>
        </w:rPr>
        <w:t xml:space="preserve">1. </w:t>
      </w:r>
      <w:r w:rsidRPr="00BB79FF">
        <w:rPr>
          <w:rFonts w:ascii="Times New Roman" w:hAnsi="Times New Roman" w:cs="Times New Roman"/>
          <w:b/>
          <w:bCs/>
          <w:sz w:val="21"/>
          <w:szCs w:val="21"/>
        </w:rPr>
        <w:t>Modernisation des infrastructures : une priorité stratégique pour améliorer la compétitivité portuaire</w:t>
      </w:r>
    </w:p>
    <w:p w14:paraId="41941FE9" w14:textId="77777777" w:rsidR="004C1F11" w:rsidRPr="00BB79FF" w:rsidRDefault="004C1F11" w:rsidP="00332F0E">
      <w:pPr>
        <w:spacing w:line="360" w:lineRule="auto"/>
        <w:jc w:val="both"/>
        <w:rPr>
          <w:rFonts w:ascii="Times New Roman" w:hAnsi="Times New Roman" w:cs="Times New Roman"/>
          <w:sz w:val="21"/>
          <w:szCs w:val="21"/>
        </w:rPr>
      </w:pPr>
      <w:r w:rsidRPr="00BB79FF">
        <w:rPr>
          <w:rFonts w:ascii="Times New Roman" w:hAnsi="Times New Roman" w:cs="Times New Roman"/>
          <w:sz w:val="21"/>
          <w:szCs w:val="21"/>
        </w:rPr>
        <w:t>Pour faire face à la saturation des terminaux et améliorer les délais de traitement des marchandises, il est essentiel de renforcer les infrastructures physiques des ports. Cela passe par :</w:t>
      </w:r>
    </w:p>
    <w:p w14:paraId="6A98F426" w14:textId="4D0F39E3"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La priorisation des projets de dragage, d’extension de quais et d’automatisation des opérations.</w:t>
      </w:r>
    </w:p>
    <w:p w14:paraId="08DB5317" w14:textId="3577E4DF"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L'encouragement des partenariats public-privé (PPP) pour attirer des financements structurants.</w:t>
      </w:r>
    </w:p>
    <w:p w14:paraId="610F4171" w14:textId="6899F94B"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Le développement de plateformes logistiques intérieures pour désengorger les zones portuaires, notamment en connectant efficacement les hinterlands.</w:t>
      </w:r>
    </w:p>
    <w:p w14:paraId="214E6CB6" w14:textId="77777777" w:rsidR="004C1F11" w:rsidRPr="00BB79FF" w:rsidRDefault="004C1F11" w:rsidP="00332F0E">
      <w:pPr>
        <w:spacing w:line="360" w:lineRule="auto"/>
        <w:jc w:val="both"/>
        <w:rPr>
          <w:rFonts w:ascii="Times New Roman" w:hAnsi="Times New Roman" w:cs="Times New Roman"/>
          <w:b/>
          <w:bCs/>
          <w:sz w:val="21"/>
          <w:szCs w:val="21"/>
        </w:rPr>
      </w:pPr>
      <w:r w:rsidRPr="00BB79FF">
        <w:rPr>
          <w:rFonts w:ascii="Times New Roman" w:hAnsi="Times New Roman" w:cs="Times New Roman"/>
          <w:sz w:val="21"/>
          <w:szCs w:val="21"/>
        </w:rPr>
        <w:t xml:space="preserve">2. </w:t>
      </w:r>
      <w:r w:rsidRPr="00BB79FF">
        <w:rPr>
          <w:rFonts w:ascii="Times New Roman" w:hAnsi="Times New Roman" w:cs="Times New Roman"/>
          <w:b/>
          <w:bCs/>
          <w:sz w:val="21"/>
          <w:szCs w:val="21"/>
        </w:rPr>
        <w:t>Gouvernance et coordination régionale : garantir une gestion efficace et intégrée des ports</w:t>
      </w:r>
    </w:p>
    <w:p w14:paraId="58AD41BB" w14:textId="77777777" w:rsidR="004C1F11" w:rsidRPr="00BB79FF" w:rsidRDefault="004C1F11" w:rsidP="00332F0E">
      <w:pPr>
        <w:spacing w:line="360" w:lineRule="auto"/>
        <w:jc w:val="both"/>
        <w:rPr>
          <w:rFonts w:ascii="Times New Roman" w:hAnsi="Times New Roman" w:cs="Times New Roman"/>
          <w:sz w:val="21"/>
          <w:szCs w:val="21"/>
        </w:rPr>
      </w:pPr>
      <w:r w:rsidRPr="00BB79FF">
        <w:rPr>
          <w:rFonts w:ascii="Times New Roman" w:hAnsi="Times New Roman" w:cs="Times New Roman"/>
          <w:sz w:val="21"/>
          <w:szCs w:val="21"/>
        </w:rPr>
        <w:t>Une gouvernance efficace est un facteur clé de performance logistique. Dans ce cadre, il convient de :</w:t>
      </w:r>
    </w:p>
    <w:p w14:paraId="09BF84F2" w14:textId="71F54222"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Renforcer les capacités institutionnelles des autorités portuaires en matière de planification, suivi et transparence.</w:t>
      </w:r>
    </w:p>
    <w:p w14:paraId="135BDB82" w14:textId="657392AA"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Promouvoir des organes de régulation régionale harmonisés, à l’instar de ceux soutenus par la CEDEAO ou l’UEMOA, pour éviter la concurrence inefficace entre ports voisins.</w:t>
      </w:r>
    </w:p>
    <w:p w14:paraId="4600C86B" w14:textId="13B5480E"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Lutter de manière proactive contre la corruption, en instaurant des audits de performance et des systèmes de contrôle automatisés.</w:t>
      </w:r>
    </w:p>
    <w:p w14:paraId="27158192" w14:textId="77777777" w:rsidR="004C1F11" w:rsidRPr="00BB79FF" w:rsidRDefault="004C1F11" w:rsidP="00332F0E">
      <w:pPr>
        <w:spacing w:line="360" w:lineRule="auto"/>
        <w:jc w:val="both"/>
        <w:rPr>
          <w:rFonts w:ascii="Times New Roman" w:hAnsi="Times New Roman" w:cs="Times New Roman"/>
          <w:b/>
          <w:bCs/>
          <w:sz w:val="21"/>
          <w:szCs w:val="21"/>
        </w:rPr>
      </w:pPr>
      <w:r w:rsidRPr="00BB79FF">
        <w:rPr>
          <w:rFonts w:ascii="Times New Roman" w:hAnsi="Times New Roman" w:cs="Times New Roman"/>
          <w:sz w:val="21"/>
          <w:szCs w:val="21"/>
        </w:rPr>
        <w:t xml:space="preserve">3. </w:t>
      </w:r>
      <w:r w:rsidRPr="00BB79FF">
        <w:rPr>
          <w:rFonts w:ascii="Times New Roman" w:hAnsi="Times New Roman" w:cs="Times New Roman"/>
          <w:b/>
          <w:bCs/>
          <w:sz w:val="21"/>
          <w:szCs w:val="21"/>
        </w:rPr>
        <w:t>Transition vers des ports durables : s’inscrire dans la logique de l’économie bleue</w:t>
      </w:r>
    </w:p>
    <w:p w14:paraId="7F188990" w14:textId="77777777" w:rsidR="004C1F11" w:rsidRPr="00BB79FF" w:rsidRDefault="004C1F11" w:rsidP="00332F0E">
      <w:pPr>
        <w:spacing w:line="360" w:lineRule="auto"/>
        <w:jc w:val="both"/>
        <w:rPr>
          <w:rFonts w:ascii="Times New Roman" w:hAnsi="Times New Roman" w:cs="Times New Roman"/>
          <w:sz w:val="21"/>
          <w:szCs w:val="21"/>
        </w:rPr>
      </w:pPr>
      <w:r w:rsidRPr="00BB79FF">
        <w:rPr>
          <w:rFonts w:ascii="Times New Roman" w:hAnsi="Times New Roman" w:cs="Times New Roman"/>
          <w:sz w:val="21"/>
          <w:szCs w:val="21"/>
        </w:rPr>
        <w:lastRenderedPageBreak/>
        <w:t>La durabilité environnementale est aujourd’hui une exigence incontournable pour les ports modernes. Cela suppose :</w:t>
      </w:r>
    </w:p>
    <w:p w14:paraId="6B625D1C" w14:textId="2AA99A14"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L’intégration rigoureuse des normes internationales telles que MARPOL ou la Convention sur la gestion des eaux de ballast (2004) de l’OMI.</w:t>
      </w:r>
    </w:p>
    <w:p w14:paraId="379AE87E" w14:textId="649A0B5A"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L’investissement dans des énergies propres (ex. : solaire), le branchement à quai des navires (cold ironing), et la gestion écologique des déchets portuaires.</w:t>
      </w:r>
    </w:p>
    <w:p w14:paraId="4CD60436" w14:textId="4A7F43CF"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La réduction des émissions de gaz à effet de serre issues des activités maritimes, comme recommandé par la Banque Africaine de Développement (2022).</w:t>
      </w:r>
    </w:p>
    <w:p w14:paraId="496C6EAC" w14:textId="77777777" w:rsidR="004C1F11" w:rsidRPr="00BB79FF" w:rsidRDefault="004C1F11" w:rsidP="00332F0E">
      <w:pPr>
        <w:spacing w:line="360" w:lineRule="auto"/>
        <w:jc w:val="both"/>
        <w:rPr>
          <w:rFonts w:ascii="Times New Roman" w:hAnsi="Times New Roman" w:cs="Times New Roman"/>
          <w:sz w:val="21"/>
          <w:szCs w:val="21"/>
        </w:rPr>
      </w:pPr>
      <w:r w:rsidRPr="00BB79FF">
        <w:rPr>
          <w:rFonts w:ascii="Times New Roman" w:hAnsi="Times New Roman" w:cs="Times New Roman"/>
          <w:sz w:val="21"/>
          <w:szCs w:val="21"/>
        </w:rPr>
        <w:t xml:space="preserve">4. </w:t>
      </w:r>
      <w:r w:rsidRPr="00BB79FF">
        <w:rPr>
          <w:rFonts w:ascii="Times New Roman" w:hAnsi="Times New Roman" w:cs="Times New Roman"/>
          <w:b/>
          <w:bCs/>
          <w:sz w:val="21"/>
          <w:szCs w:val="21"/>
        </w:rPr>
        <w:t>Capital humain et formation professionnelle : bâtir les compétences de demain</w:t>
      </w:r>
    </w:p>
    <w:p w14:paraId="5FDE9B44" w14:textId="77777777" w:rsidR="004C1F11" w:rsidRPr="00BB79FF" w:rsidRDefault="004C1F11" w:rsidP="00332F0E">
      <w:pPr>
        <w:spacing w:line="360" w:lineRule="auto"/>
        <w:jc w:val="both"/>
        <w:rPr>
          <w:rFonts w:ascii="Times New Roman" w:hAnsi="Times New Roman" w:cs="Times New Roman"/>
          <w:sz w:val="21"/>
          <w:szCs w:val="21"/>
        </w:rPr>
      </w:pPr>
      <w:r w:rsidRPr="00BB79FF">
        <w:rPr>
          <w:rFonts w:ascii="Times New Roman" w:hAnsi="Times New Roman" w:cs="Times New Roman"/>
          <w:sz w:val="21"/>
          <w:szCs w:val="21"/>
        </w:rPr>
        <w:t>La réussite de toute réforme repose sur un personnel qualifié, apte à faire fonctionner des systèmes modernes et conformes aux standards internationaux. Il est donc crucial de :</w:t>
      </w:r>
    </w:p>
    <w:p w14:paraId="79F77749" w14:textId="6D91C2C2"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Créer des centres d’excellence spécialisés en économie maritime, logistique portuaire et environnement côtier.</w:t>
      </w:r>
    </w:p>
    <w:p w14:paraId="25A827D4" w14:textId="174B7D9E"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Développer des cursus professionnels adaptés aux métiers du secteur maritime (sécurité, manutention, écologie marine).</w:t>
      </w:r>
    </w:p>
    <w:p w14:paraId="3F0CB0AE" w14:textId="26BA81F8"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Encourager les partenariats entre universités, centres de formation et autorités portuaires pour une adéquation formation-emploi.</w:t>
      </w:r>
    </w:p>
    <w:p w14:paraId="64E2D3AF" w14:textId="77777777" w:rsidR="004C1F11" w:rsidRPr="00BB79FF" w:rsidRDefault="004C1F11" w:rsidP="00332F0E">
      <w:pPr>
        <w:spacing w:line="360" w:lineRule="auto"/>
        <w:jc w:val="both"/>
        <w:rPr>
          <w:rFonts w:ascii="Times New Roman" w:hAnsi="Times New Roman" w:cs="Times New Roman"/>
          <w:b/>
          <w:bCs/>
          <w:sz w:val="21"/>
          <w:szCs w:val="21"/>
        </w:rPr>
      </w:pPr>
      <w:r w:rsidRPr="00BB79FF">
        <w:rPr>
          <w:rFonts w:ascii="Times New Roman" w:hAnsi="Times New Roman" w:cs="Times New Roman"/>
          <w:sz w:val="21"/>
          <w:szCs w:val="21"/>
        </w:rPr>
        <w:t xml:space="preserve">5. </w:t>
      </w:r>
      <w:r w:rsidRPr="00BB79FF">
        <w:rPr>
          <w:rFonts w:ascii="Times New Roman" w:hAnsi="Times New Roman" w:cs="Times New Roman"/>
          <w:b/>
          <w:bCs/>
          <w:sz w:val="21"/>
          <w:szCs w:val="21"/>
        </w:rPr>
        <w:t>Sécurité et durabilité environnementale : renforcer la résilience face aux risques maritimes</w:t>
      </w:r>
    </w:p>
    <w:p w14:paraId="6CDFBD8F" w14:textId="77777777" w:rsidR="004C1F11" w:rsidRPr="00BB79FF" w:rsidRDefault="004C1F11" w:rsidP="00332F0E">
      <w:pPr>
        <w:spacing w:line="360" w:lineRule="auto"/>
        <w:jc w:val="both"/>
        <w:rPr>
          <w:rFonts w:ascii="Times New Roman" w:hAnsi="Times New Roman" w:cs="Times New Roman"/>
          <w:sz w:val="21"/>
          <w:szCs w:val="21"/>
        </w:rPr>
      </w:pPr>
      <w:r w:rsidRPr="00BB79FF">
        <w:rPr>
          <w:rFonts w:ascii="Times New Roman" w:hAnsi="Times New Roman" w:cs="Times New Roman"/>
          <w:sz w:val="21"/>
          <w:szCs w:val="21"/>
        </w:rPr>
        <w:t>Enfin, une politique maritime efficace ne saurait ignorer les enjeux de sécurité et de préservation de l’écosystème marin. Dans cette optique, il importe de :</w:t>
      </w:r>
    </w:p>
    <w:p w14:paraId="5E7800BF" w14:textId="4120E681"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Mettre en place des systèmes de surveillance maritime intégrée (radars, AIS) pour prévenir les actes illicites et améliorer la sûreté en mer.</w:t>
      </w:r>
    </w:p>
    <w:p w14:paraId="3CC18B82" w14:textId="4523A1FB"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Renforcer les capacités de réponse rapide aux pollutions maritimes, notamment les dégazages et rejets d’hydrocarbures.</w:t>
      </w:r>
    </w:p>
    <w:p w14:paraId="6811D82F" w14:textId="32A39C2B" w:rsidR="004C1F11" w:rsidRPr="00BB79FF" w:rsidRDefault="0028190E" w:rsidP="00332F0E">
      <w:pPr>
        <w:spacing w:line="360" w:lineRule="auto"/>
        <w:jc w:val="both"/>
        <w:rPr>
          <w:rFonts w:ascii="Times New Roman" w:hAnsi="Times New Roman" w:cs="Times New Roman"/>
          <w:sz w:val="21"/>
          <w:szCs w:val="21"/>
        </w:rPr>
      </w:pPr>
      <w:r w:rsidRPr="00BB79FF">
        <w:rPr>
          <w:rFonts w:ascii="Segoe UI Symbol" w:hAnsi="Segoe UI Symbol" w:cs="Segoe UI Symbol"/>
          <w:sz w:val="21"/>
          <w:szCs w:val="21"/>
        </w:rPr>
        <w:t>🔹</w:t>
      </w:r>
      <w:r w:rsidRPr="00BB79FF">
        <w:rPr>
          <w:rFonts w:ascii="Times New Roman" w:hAnsi="Times New Roman" w:cs="Times New Roman"/>
          <w:sz w:val="21"/>
          <w:szCs w:val="21"/>
        </w:rPr>
        <w:t xml:space="preserve"> </w:t>
      </w:r>
      <w:r w:rsidR="004C1F11" w:rsidRPr="00BB79FF">
        <w:rPr>
          <w:rFonts w:ascii="Times New Roman" w:hAnsi="Times New Roman" w:cs="Times New Roman"/>
          <w:sz w:val="21"/>
          <w:szCs w:val="21"/>
        </w:rPr>
        <w:t>Impliquer les communautés littorales dans la gestion durable du trait de côte et la prévention des risques liés aux changements climatiques.</w:t>
      </w:r>
    </w:p>
    <w:p w14:paraId="4189CF2E" w14:textId="2EB4B833" w:rsidR="004C1F11" w:rsidRPr="00BB79FF" w:rsidRDefault="004C1F11" w:rsidP="00332F0E">
      <w:pPr>
        <w:spacing w:line="360" w:lineRule="auto"/>
        <w:jc w:val="both"/>
        <w:rPr>
          <w:rFonts w:ascii="Times New Roman" w:hAnsi="Times New Roman" w:cs="Times New Roman"/>
          <w:b/>
          <w:bCs/>
          <w:sz w:val="21"/>
          <w:szCs w:val="21"/>
        </w:rPr>
      </w:pPr>
      <w:r w:rsidRPr="00BB79FF">
        <w:rPr>
          <w:rFonts w:ascii="Times New Roman" w:hAnsi="Times New Roman" w:cs="Times New Roman"/>
          <w:b/>
          <w:bCs/>
          <w:sz w:val="21"/>
          <w:szCs w:val="21"/>
        </w:rPr>
        <w:t>Références bibliographiques</w:t>
      </w:r>
    </w:p>
    <w:p w14:paraId="5EDDE64F" w14:textId="77777777" w:rsidR="004C1F11" w:rsidRPr="00BB79FF" w:rsidRDefault="004C1F11" w:rsidP="00332F0E">
      <w:pPr>
        <w:numPr>
          <w:ilvl w:val="0"/>
          <w:numId w:val="10"/>
        </w:numPr>
        <w:spacing w:line="360" w:lineRule="auto"/>
        <w:jc w:val="both"/>
        <w:rPr>
          <w:rFonts w:ascii="Times New Roman" w:hAnsi="Times New Roman" w:cs="Times New Roman"/>
          <w:sz w:val="21"/>
          <w:szCs w:val="21"/>
        </w:rPr>
      </w:pPr>
      <w:r w:rsidRPr="00BB79FF">
        <w:rPr>
          <w:rFonts w:ascii="Times New Roman" w:hAnsi="Times New Roman" w:cs="Times New Roman"/>
          <w:sz w:val="21"/>
          <w:szCs w:val="21"/>
          <w:lang w:val="en-US"/>
        </w:rPr>
        <w:t xml:space="preserve">AfDB (2022). </w:t>
      </w:r>
      <w:r w:rsidRPr="00BB79FF">
        <w:rPr>
          <w:rFonts w:ascii="Times New Roman" w:hAnsi="Times New Roman" w:cs="Times New Roman"/>
          <w:i/>
          <w:iCs/>
          <w:sz w:val="21"/>
          <w:szCs w:val="21"/>
          <w:lang w:val="en-US"/>
        </w:rPr>
        <w:t>Africa Blue Economy Strategy</w:t>
      </w:r>
      <w:r w:rsidRPr="00BB79FF">
        <w:rPr>
          <w:rFonts w:ascii="Times New Roman" w:hAnsi="Times New Roman" w:cs="Times New Roman"/>
          <w:sz w:val="21"/>
          <w:szCs w:val="21"/>
          <w:lang w:val="en-US"/>
        </w:rPr>
        <w:t xml:space="preserve">. </w:t>
      </w:r>
      <w:r w:rsidRPr="00BB79FF">
        <w:rPr>
          <w:rFonts w:ascii="Times New Roman" w:hAnsi="Times New Roman" w:cs="Times New Roman"/>
          <w:sz w:val="21"/>
          <w:szCs w:val="21"/>
        </w:rPr>
        <w:t>African Development Bank Group.</w:t>
      </w:r>
    </w:p>
    <w:p w14:paraId="01D9534C" w14:textId="77777777" w:rsidR="004C1F11" w:rsidRPr="00BB79FF" w:rsidRDefault="004C1F11" w:rsidP="00332F0E">
      <w:pPr>
        <w:numPr>
          <w:ilvl w:val="0"/>
          <w:numId w:val="10"/>
        </w:numPr>
        <w:spacing w:line="360" w:lineRule="auto"/>
        <w:jc w:val="both"/>
        <w:rPr>
          <w:rFonts w:ascii="Times New Roman" w:hAnsi="Times New Roman" w:cs="Times New Roman"/>
          <w:sz w:val="21"/>
          <w:szCs w:val="21"/>
        </w:rPr>
      </w:pPr>
      <w:r w:rsidRPr="00BB79FF">
        <w:rPr>
          <w:rFonts w:ascii="Times New Roman" w:hAnsi="Times New Roman" w:cs="Times New Roman"/>
          <w:sz w:val="21"/>
          <w:szCs w:val="21"/>
        </w:rPr>
        <w:t xml:space="preserve">Coulibaly, S., &amp; Sow, M. (2020). </w:t>
      </w:r>
      <w:r w:rsidRPr="00BB79FF">
        <w:rPr>
          <w:rFonts w:ascii="Times New Roman" w:hAnsi="Times New Roman" w:cs="Times New Roman"/>
          <w:i/>
          <w:iCs/>
          <w:sz w:val="21"/>
          <w:szCs w:val="21"/>
        </w:rPr>
        <w:t>La compétitivité portuaire en Afrique de l’Ouest : état des lieux et réformes nécessaires</w:t>
      </w:r>
      <w:r w:rsidRPr="00BB79FF">
        <w:rPr>
          <w:rFonts w:ascii="Times New Roman" w:hAnsi="Times New Roman" w:cs="Times New Roman"/>
          <w:sz w:val="21"/>
          <w:szCs w:val="21"/>
        </w:rPr>
        <w:t>. Revue africaine de l’intégration régionale, 15(2), 77-98.</w:t>
      </w:r>
    </w:p>
    <w:p w14:paraId="095D41FC" w14:textId="77777777" w:rsidR="004C1F11" w:rsidRPr="00BB79FF" w:rsidRDefault="004C1F11" w:rsidP="00332F0E">
      <w:pPr>
        <w:numPr>
          <w:ilvl w:val="0"/>
          <w:numId w:val="10"/>
        </w:numPr>
        <w:spacing w:line="360" w:lineRule="auto"/>
        <w:jc w:val="both"/>
        <w:rPr>
          <w:rFonts w:ascii="Times New Roman" w:hAnsi="Times New Roman" w:cs="Times New Roman"/>
          <w:sz w:val="21"/>
          <w:szCs w:val="21"/>
          <w:lang w:val="en-US"/>
        </w:rPr>
      </w:pPr>
      <w:r w:rsidRPr="00BB79FF">
        <w:rPr>
          <w:rFonts w:ascii="Times New Roman" w:hAnsi="Times New Roman" w:cs="Times New Roman"/>
          <w:sz w:val="21"/>
          <w:szCs w:val="21"/>
          <w:lang w:val="pt-PT"/>
        </w:rPr>
        <w:lastRenderedPageBreak/>
        <w:t xml:space="preserve">Notteboom, T., &amp; Rodrigue, J.-P. (2021). </w:t>
      </w:r>
      <w:r w:rsidRPr="00BB79FF">
        <w:rPr>
          <w:rFonts w:ascii="Times New Roman" w:hAnsi="Times New Roman" w:cs="Times New Roman"/>
          <w:i/>
          <w:iCs/>
          <w:sz w:val="21"/>
          <w:szCs w:val="21"/>
          <w:lang w:val="en-US"/>
        </w:rPr>
        <w:t>Port Economics, Management and Policy</w:t>
      </w:r>
      <w:r w:rsidRPr="00BB79FF">
        <w:rPr>
          <w:rFonts w:ascii="Times New Roman" w:hAnsi="Times New Roman" w:cs="Times New Roman"/>
          <w:sz w:val="21"/>
          <w:szCs w:val="21"/>
          <w:lang w:val="en-US"/>
        </w:rPr>
        <w:t>. Routledge.</w:t>
      </w:r>
    </w:p>
    <w:p w14:paraId="59B91CF1" w14:textId="77777777" w:rsidR="004C1F11" w:rsidRPr="00BB79FF" w:rsidRDefault="004C1F11" w:rsidP="00332F0E">
      <w:pPr>
        <w:numPr>
          <w:ilvl w:val="0"/>
          <w:numId w:val="10"/>
        </w:numPr>
        <w:spacing w:line="360" w:lineRule="auto"/>
        <w:jc w:val="both"/>
        <w:rPr>
          <w:rFonts w:ascii="Times New Roman" w:hAnsi="Times New Roman" w:cs="Times New Roman"/>
          <w:sz w:val="21"/>
          <w:szCs w:val="21"/>
          <w:lang w:val="en-US"/>
        </w:rPr>
      </w:pPr>
      <w:r w:rsidRPr="00BB79FF">
        <w:rPr>
          <w:rFonts w:ascii="Times New Roman" w:hAnsi="Times New Roman" w:cs="Times New Roman"/>
          <w:sz w:val="21"/>
          <w:szCs w:val="21"/>
          <w:lang w:val="en-US"/>
        </w:rPr>
        <w:t xml:space="preserve">OECD (2016). </w:t>
      </w:r>
      <w:r w:rsidRPr="00BB79FF">
        <w:rPr>
          <w:rFonts w:ascii="Times New Roman" w:hAnsi="Times New Roman" w:cs="Times New Roman"/>
          <w:i/>
          <w:iCs/>
          <w:sz w:val="21"/>
          <w:szCs w:val="21"/>
          <w:lang w:val="en-US"/>
        </w:rPr>
        <w:t>The Ocean Economy in 2030</w:t>
      </w:r>
      <w:r w:rsidRPr="00BB79FF">
        <w:rPr>
          <w:rFonts w:ascii="Times New Roman" w:hAnsi="Times New Roman" w:cs="Times New Roman"/>
          <w:sz w:val="21"/>
          <w:szCs w:val="21"/>
          <w:lang w:val="en-US"/>
        </w:rPr>
        <w:t>. Organisation for Economic Co-operation and Development.</w:t>
      </w:r>
    </w:p>
    <w:p w14:paraId="2D982375" w14:textId="77777777" w:rsidR="004C1F11" w:rsidRPr="00BB79FF" w:rsidRDefault="004C1F11" w:rsidP="00332F0E">
      <w:pPr>
        <w:numPr>
          <w:ilvl w:val="0"/>
          <w:numId w:val="10"/>
        </w:numPr>
        <w:spacing w:line="360" w:lineRule="auto"/>
        <w:jc w:val="both"/>
        <w:rPr>
          <w:rFonts w:ascii="Times New Roman" w:hAnsi="Times New Roman" w:cs="Times New Roman"/>
          <w:sz w:val="21"/>
          <w:szCs w:val="21"/>
          <w:lang w:val="en-US"/>
        </w:rPr>
      </w:pPr>
      <w:r w:rsidRPr="00BB79FF">
        <w:rPr>
          <w:rFonts w:ascii="Times New Roman" w:hAnsi="Times New Roman" w:cs="Times New Roman"/>
          <w:sz w:val="21"/>
          <w:szCs w:val="21"/>
          <w:lang w:val="en-US"/>
        </w:rPr>
        <w:t xml:space="preserve">UNCTAD (2023). </w:t>
      </w:r>
      <w:r w:rsidRPr="00BB79FF">
        <w:rPr>
          <w:rFonts w:ascii="Times New Roman" w:hAnsi="Times New Roman" w:cs="Times New Roman"/>
          <w:i/>
          <w:iCs/>
          <w:sz w:val="21"/>
          <w:szCs w:val="21"/>
          <w:lang w:val="en-US"/>
        </w:rPr>
        <w:t>Review of Maritime Transport 2023</w:t>
      </w:r>
      <w:r w:rsidRPr="00BB79FF">
        <w:rPr>
          <w:rFonts w:ascii="Times New Roman" w:hAnsi="Times New Roman" w:cs="Times New Roman"/>
          <w:sz w:val="21"/>
          <w:szCs w:val="21"/>
          <w:lang w:val="en-US"/>
        </w:rPr>
        <w:t>. United Nations Conference on Trade and Development.</w:t>
      </w:r>
    </w:p>
    <w:p w14:paraId="2C030D6E" w14:textId="5BA3DA10" w:rsidR="00F70FE0" w:rsidRPr="00BB79FF" w:rsidRDefault="004C1F11" w:rsidP="00332F0E">
      <w:pPr>
        <w:numPr>
          <w:ilvl w:val="0"/>
          <w:numId w:val="10"/>
        </w:numPr>
        <w:spacing w:line="360" w:lineRule="auto"/>
        <w:jc w:val="both"/>
        <w:rPr>
          <w:rFonts w:ascii="Times New Roman" w:hAnsi="Times New Roman" w:cs="Times New Roman"/>
          <w:sz w:val="21"/>
          <w:szCs w:val="21"/>
          <w:lang w:val="en-US"/>
        </w:rPr>
      </w:pPr>
      <w:r w:rsidRPr="00BB79FF">
        <w:rPr>
          <w:rFonts w:ascii="Times New Roman" w:hAnsi="Times New Roman" w:cs="Times New Roman"/>
          <w:sz w:val="21"/>
          <w:szCs w:val="21"/>
          <w:lang w:val="en-US"/>
        </w:rPr>
        <w:t xml:space="preserve">World Bank (2021). </w:t>
      </w:r>
      <w:r w:rsidRPr="00BB79FF">
        <w:rPr>
          <w:rFonts w:ascii="Times New Roman" w:hAnsi="Times New Roman" w:cs="Times New Roman"/>
          <w:i/>
          <w:iCs/>
          <w:sz w:val="21"/>
          <w:szCs w:val="21"/>
          <w:lang w:val="en-US"/>
        </w:rPr>
        <w:t>Enhancing Port Efficiency in Africa</w:t>
      </w:r>
      <w:r w:rsidRPr="00BB79FF">
        <w:rPr>
          <w:rFonts w:ascii="Times New Roman" w:hAnsi="Times New Roman" w:cs="Times New Roman"/>
          <w:sz w:val="21"/>
          <w:szCs w:val="21"/>
          <w:lang w:val="en-US"/>
        </w:rPr>
        <w:t>. Transport Global Practice, World Bank Group.</w:t>
      </w:r>
    </w:p>
    <w:p w14:paraId="44B3905B" w14:textId="7876D3A6" w:rsidR="00D738B3" w:rsidRPr="00BB79FF" w:rsidRDefault="00F70FE0" w:rsidP="00332F0E">
      <w:pPr>
        <w:spacing w:line="360" w:lineRule="auto"/>
        <w:jc w:val="both"/>
        <w:rPr>
          <w:rFonts w:ascii="Times New Roman" w:hAnsi="Times New Roman" w:cs="Times New Roman"/>
          <w:sz w:val="21"/>
          <w:szCs w:val="21"/>
        </w:rPr>
      </w:pPr>
      <w:r w:rsidRPr="00BB79FF">
        <w:rPr>
          <w:rFonts w:ascii="Times New Roman" w:hAnsi="Times New Roman" w:cs="Times New Roman"/>
          <w:b/>
          <w:bCs/>
          <w:i/>
          <w:iCs/>
          <w:sz w:val="21"/>
          <w:szCs w:val="21"/>
        </w:rPr>
        <w:t xml:space="preserve">Dr </w:t>
      </w:r>
      <w:r w:rsidR="000C7669">
        <w:rPr>
          <w:rFonts w:ascii="Times New Roman" w:hAnsi="Times New Roman" w:cs="Times New Roman"/>
          <w:b/>
          <w:bCs/>
          <w:i/>
          <w:iCs/>
          <w:sz w:val="21"/>
          <w:szCs w:val="21"/>
        </w:rPr>
        <w:t xml:space="preserve">Sagbo </w:t>
      </w:r>
      <w:bookmarkStart w:id="0" w:name="_GoBack"/>
      <w:bookmarkEnd w:id="0"/>
      <w:r w:rsidRPr="00BB79FF">
        <w:rPr>
          <w:rFonts w:ascii="Times New Roman" w:hAnsi="Times New Roman" w:cs="Times New Roman"/>
          <w:b/>
          <w:bCs/>
          <w:i/>
          <w:iCs/>
          <w:sz w:val="21"/>
          <w:szCs w:val="21"/>
        </w:rPr>
        <w:t>Damien Ahouandokoun, Expert en économie maritime et portuaire, Juriste -spécialiste en aménagement portuaire et développement durable</w:t>
      </w:r>
      <w:r w:rsidR="000E4500">
        <w:rPr>
          <w:rFonts w:ascii="Times New Roman" w:hAnsi="Times New Roman" w:cs="Times New Roman"/>
          <w:b/>
          <w:bCs/>
          <w:i/>
          <w:iCs/>
          <w:sz w:val="21"/>
          <w:szCs w:val="21"/>
        </w:rPr>
        <w:t>.</w:t>
      </w:r>
    </w:p>
    <w:sectPr w:rsidR="00D738B3" w:rsidRPr="00BB7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24C8"/>
    <w:multiLevelType w:val="multilevel"/>
    <w:tmpl w:val="9BBC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24357"/>
    <w:multiLevelType w:val="multilevel"/>
    <w:tmpl w:val="3486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F5428"/>
    <w:multiLevelType w:val="multilevel"/>
    <w:tmpl w:val="6E76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11B7C"/>
    <w:multiLevelType w:val="multilevel"/>
    <w:tmpl w:val="484E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A537E"/>
    <w:multiLevelType w:val="multilevel"/>
    <w:tmpl w:val="8AEA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9A6347"/>
    <w:multiLevelType w:val="multilevel"/>
    <w:tmpl w:val="B316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B37A23"/>
    <w:multiLevelType w:val="multilevel"/>
    <w:tmpl w:val="E9BC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120C4"/>
    <w:multiLevelType w:val="multilevel"/>
    <w:tmpl w:val="65B8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5D6713"/>
    <w:multiLevelType w:val="multilevel"/>
    <w:tmpl w:val="4444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920616"/>
    <w:multiLevelType w:val="multilevel"/>
    <w:tmpl w:val="4622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430E87"/>
    <w:multiLevelType w:val="multilevel"/>
    <w:tmpl w:val="1CD2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71598C"/>
    <w:multiLevelType w:val="multilevel"/>
    <w:tmpl w:val="31EC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374E8"/>
    <w:multiLevelType w:val="multilevel"/>
    <w:tmpl w:val="6B0A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AB5D84"/>
    <w:multiLevelType w:val="multilevel"/>
    <w:tmpl w:val="A53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227EF2"/>
    <w:multiLevelType w:val="multilevel"/>
    <w:tmpl w:val="AFFC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8"/>
  </w:num>
  <w:num w:numId="4">
    <w:abstractNumId w:val="11"/>
  </w:num>
  <w:num w:numId="5">
    <w:abstractNumId w:val="3"/>
  </w:num>
  <w:num w:numId="6">
    <w:abstractNumId w:val="1"/>
  </w:num>
  <w:num w:numId="7">
    <w:abstractNumId w:val="9"/>
  </w:num>
  <w:num w:numId="8">
    <w:abstractNumId w:val="6"/>
  </w:num>
  <w:num w:numId="9">
    <w:abstractNumId w:val="12"/>
  </w:num>
  <w:num w:numId="10">
    <w:abstractNumId w:val="13"/>
  </w:num>
  <w:num w:numId="11">
    <w:abstractNumId w:val="7"/>
  </w:num>
  <w:num w:numId="12">
    <w:abstractNumId w:val="10"/>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11"/>
    <w:rsid w:val="000C7669"/>
    <w:rsid w:val="000E4500"/>
    <w:rsid w:val="001D6225"/>
    <w:rsid w:val="00263CF5"/>
    <w:rsid w:val="0028190E"/>
    <w:rsid w:val="00332F0E"/>
    <w:rsid w:val="003E7E2A"/>
    <w:rsid w:val="004C1F11"/>
    <w:rsid w:val="00506E1C"/>
    <w:rsid w:val="008E6DF0"/>
    <w:rsid w:val="00987068"/>
    <w:rsid w:val="00BB79FF"/>
    <w:rsid w:val="00BD41A8"/>
    <w:rsid w:val="00D738B3"/>
    <w:rsid w:val="00D75E13"/>
    <w:rsid w:val="00F70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B4F28"/>
  <w15:chartTrackingRefBased/>
  <w15:docId w15:val="{2B09DE3A-5DE6-414D-8565-90C262A6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1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C1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C1F1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C1F1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C1F1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C1F1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C1F1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C1F1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C1F1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1F1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C1F1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C1F1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C1F1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C1F1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C1F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C1F1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C1F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C1F11"/>
    <w:rPr>
      <w:rFonts w:eastAsiaTheme="majorEastAsia" w:cstheme="majorBidi"/>
      <w:color w:val="272727" w:themeColor="text1" w:themeTint="D8"/>
    </w:rPr>
  </w:style>
  <w:style w:type="paragraph" w:styleId="Titre">
    <w:name w:val="Title"/>
    <w:basedOn w:val="Normal"/>
    <w:next w:val="Normal"/>
    <w:link w:val="TitreCar"/>
    <w:uiPriority w:val="10"/>
    <w:qFormat/>
    <w:rsid w:val="004C1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1F1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C1F1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C1F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C1F11"/>
    <w:pPr>
      <w:spacing w:before="160"/>
      <w:jc w:val="center"/>
    </w:pPr>
    <w:rPr>
      <w:i/>
      <w:iCs/>
      <w:color w:val="404040" w:themeColor="text1" w:themeTint="BF"/>
    </w:rPr>
  </w:style>
  <w:style w:type="character" w:customStyle="1" w:styleId="CitationCar">
    <w:name w:val="Citation Car"/>
    <w:basedOn w:val="Policepardfaut"/>
    <w:link w:val="Citation"/>
    <w:uiPriority w:val="29"/>
    <w:rsid w:val="004C1F11"/>
    <w:rPr>
      <w:i/>
      <w:iCs/>
      <w:color w:val="404040" w:themeColor="text1" w:themeTint="BF"/>
    </w:rPr>
  </w:style>
  <w:style w:type="paragraph" w:styleId="Paragraphedeliste">
    <w:name w:val="List Paragraph"/>
    <w:basedOn w:val="Normal"/>
    <w:uiPriority w:val="34"/>
    <w:qFormat/>
    <w:rsid w:val="004C1F11"/>
    <w:pPr>
      <w:ind w:left="720"/>
      <w:contextualSpacing/>
    </w:pPr>
  </w:style>
  <w:style w:type="character" w:styleId="Emphaseintense">
    <w:name w:val="Intense Emphasis"/>
    <w:basedOn w:val="Policepardfaut"/>
    <w:uiPriority w:val="21"/>
    <w:qFormat/>
    <w:rsid w:val="004C1F11"/>
    <w:rPr>
      <w:i/>
      <w:iCs/>
      <w:color w:val="0F4761" w:themeColor="accent1" w:themeShade="BF"/>
    </w:rPr>
  </w:style>
  <w:style w:type="paragraph" w:styleId="Citationintense">
    <w:name w:val="Intense Quote"/>
    <w:basedOn w:val="Normal"/>
    <w:next w:val="Normal"/>
    <w:link w:val="CitationintenseCar"/>
    <w:uiPriority w:val="30"/>
    <w:qFormat/>
    <w:rsid w:val="004C1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C1F11"/>
    <w:rPr>
      <w:i/>
      <w:iCs/>
      <w:color w:val="0F4761" w:themeColor="accent1" w:themeShade="BF"/>
    </w:rPr>
  </w:style>
  <w:style w:type="character" w:styleId="Rfrenceintense">
    <w:name w:val="Intense Reference"/>
    <w:basedOn w:val="Policepardfaut"/>
    <w:uiPriority w:val="32"/>
    <w:qFormat/>
    <w:rsid w:val="004C1F11"/>
    <w:rPr>
      <w:b/>
      <w:bCs/>
      <w:smallCaps/>
      <w:color w:val="0F4761" w:themeColor="accent1" w:themeShade="BF"/>
      <w:spacing w:val="5"/>
    </w:rPr>
  </w:style>
  <w:style w:type="table" w:styleId="Grilledutableau">
    <w:name w:val="Table Grid"/>
    <w:basedOn w:val="TableauNormal"/>
    <w:uiPriority w:val="39"/>
    <w:rsid w:val="004C1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4618">
      <w:bodyDiv w:val="1"/>
      <w:marLeft w:val="0"/>
      <w:marRight w:val="0"/>
      <w:marTop w:val="0"/>
      <w:marBottom w:val="0"/>
      <w:divBdr>
        <w:top w:val="none" w:sz="0" w:space="0" w:color="auto"/>
        <w:left w:val="none" w:sz="0" w:space="0" w:color="auto"/>
        <w:bottom w:val="none" w:sz="0" w:space="0" w:color="auto"/>
        <w:right w:val="none" w:sz="0" w:space="0" w:color="auto"/>
      </w:divBdr>
      <w:divsChild>
        <w:div w:id="2011785766">
          <w:marLeft w:val="0"/>
          <w:marRight w:val="0"/>
          <w:marTop w:val="0"/>
          <w:marBottom w:val="0"/>
          <w:divBdr>
            <w:top w:val="none" w:sz="0" w:space="0" w:color="auto"/>
            <w:left w:val="none" w:sz="0" w:space="0" w:color="auto"/>
            <w:bottom w:val="none" w:sz="0" w:space="0" w:color="auto"/>
            <w:right w:val="none" w:sz="0" w:space="0" w:color="auto"/>
          </w:divBdr>
          <w:divsChild>
            <w:div w:id="13277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1921">
      <w:bodyDiv w:val="1"/>
      <w:marLeft w:val="0"/>
      <w:marRight w:val="0"/>
      <w:marTop w:val="0"/>
      <w:marBottom w:val="0"/>
      <w:divBdr>
        <w:top w:val="none" w:sz="0" w:space="0" w:color="auto"/>
        <w:left w:val="none" w:sz="0" w:space="0" w:color="auto"/>
        <w:bottom w:val="none" w:sz="0" w:space="0" w:color="auto"/>
        <w:right w:val="none" w:sz="0" w:space="0" w:color="auto"/>
      </w:divBdr>
      <w:divsChild>
        <w:div w:id="1266886382">
          <w:marLeft w:val="0"/>
          <w:marRight w:val="0"/>
          <w:marTop w:val="0"/>
          <w:marBottom w:val="0"/>
          <w:divBdr>
            <w:top w:val="none" w:sz="0" w:space="0" w:color="auto"/>
            <w:left w:val="none" w:sz="0" w:space="0" w:color="auto"/>
            <w:bottom w:val="none" w:sz="0" w:space="0" w:color="auto"/>
            <w:right w:val="none" w:sz="0" w:space="0" w:color="auto"/>
          </w:divBdr>
          <w:divsChild>
            <w:div w:id="18208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2070">
      <w:bodyDiv w:val="1"/>
      <w:marLeft w:val="0"/>
      <w:marRight w:val="0"/>
      <w:marTop w:val="0"/>
      <w:marBottom w:val="0"/>
      <w:divBdr>
        <w:top w:val="none" w:sz="0" w:space="0" w:color="auto"/>
        <w:left w:val="none" w:sz="0" w:space="0" w:color="auto"/>
        <w:bottom w:val="none" w:sz="0" w:space="0" w:color="auto"/>
        <w:right w:val="none" w:sz="0" w:space="0" w:color="auto"/>
      </w:divBdr>
    </w:div>
    <w:div w:id="747309428">
      <w:bodyDiv w:val="1"/>
      <w:marLeft w:val="0"/>
      <w:marRight w:val="0"/>
      <w:marTop w:val="0"/>
      <w:marBottom w:val="0"/>
      <w:divBdr>
        <w:top w:val="none" w:sz="0" w:space="0" w:color="auto"/>
        <w:left w:val="none" w:sz="0" w:space="0" w:color="auto"/>
        <w:bottom w:val="none" w:sz="0" w:space="0" w:color="auto"/>
        <w:right w:val="none" w:sz="0" w:space="0" w:color="auto"/>
      </w:divBdr>
    </w:div>
    <w:div w:id="1066495537">
      <w:bodyDiv w:val="1"/>
      <w:marLeft w:val="0"/>
      <w:marRight w:val="0"/>
      <w:marTop w:val="0"/>
      <w:marBottom w:val="0"/>
      <w:divBdr>
        <w:top w:val="none" w:sz="0" w:space="0" w:color="auto"/>
        <w:left w:val="none" w:sz="0" w:space="0" w:color="auto"/>
        <w:bottom w:val="none" w:sz="0" w:space="0" w:color="auto"/>
        <w:right w:val="none" w:sz="0" w:space="0" w:color="auto"/>
      </w:divBdr>
    </w:div>
    <w:div w:id="1076827293">
      <w:bodyDiv w:val="1"/>
      <w:marLeft w:val="0"/>
      <w:marRight w:val="0"/>
      <w:marTop w:val="0"/>
      <w:marBottom w:val="0"/>
      <w:divBdr>
        <w:top w:val="none" w:sz="0" w:space="0" w:color="auto"/>
        <w:left w:val="none" w:sz="0" w:space="0" w:color="auto"/>
        <w:bottom w:val="none" w:sz="0" w:space="0" w:color="auto"/>
        <w:right w:val="none" w:sz="0" w:space="0" w:color="auto"/>
      </w:divBdr>
    </w:div>
    <w:div w:id="1080368230">
      <w:bodyDiv w:val="1"/>
      <w:marLeft w:val="0"/>
      <w:marRight w:val="0"/>
      <w:marTop w:val="0"/>
      <w:marBottom w:val="0"/>
      <w:divBdr>
        <w:top w:val="none" w:sz="0" w:space="0" w:color="auto"/>
        <w:left w:val="none" w:sz="0" w:space="0" w:color="auto"/>
        <w:bottom w:val="none" w:sz="0" w:space="0" w:color="auto"/>
        <w:right w:val="none" w:sz="0" w:space="0" w:color="auto"/>
      </w:divBdr>
    </w:div>
    <w:div w:id="1514226136">
      <w:bodyDiv w:val="1"/>
      <w:marLeft w:val="0"/>
      <w:marRight w:val="0"/>
      <w:marTop w:val="0"/>
      <w:marBottom w:val="0"/>
      <w:divBdr>
        <w:top w:val="none" w:sz="0" w:space="0" w:color="auto"/>
        <w:left w:val="none" w:sz="0" w:space="0" w:color="auto"/>
        <w:bottom w:val="none" w:sz="0" w:space="0" w:color="auto"/>
        <w:right w:val="none" w:sz="0" w:space="0" w:color="auto"/>
      </w:divBdr>
    </w:div>
    <w:div w:id="1619488581">
      <w:bodyDiv w:val="1"/>
      <w:marLeft w:val="0"/>
      <w:marRight w:val="0"/>
      <w:marTop w:val="0"/>
      <w:marBottom w:val="0"/>
      <w:divBdr>
        <w:top w:val="none" w:sz="0" w:space="0" w:color="auto"/>
        <w:left w:val="none" w:sz="0" w:space="0" w:color="auto"/>
        <w:bottom w:val="none" w:sz="0" w:space="0" w:color="auto"/>
        <w:right w:val="none" w:sz="0" w:space="0" w:color="auto"/>
      </w:divBdr>
    </w:div>
    <w:div w:id="19744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1029</Words>
  <Characters>5661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AHOUANDOKOUN Sagbo Damien [PAC/DOPS/CP/SPN]</dc:creator>
  <cp:keywords/>
  <dc:description/>
  <cp:lastModifiedBy>gbadessi</cp:lastModifiedBy>
  <cp:revision>9</cp:revision>
  <dcterms:created xsi:type="dcterms:W3CDTF">2025-06-07T09:57:00Z</dcterms:created>
  <dcterms:modified xsi:type="dcterms:W3CDTF">2025-06-18T16:53:00Z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e7c7a1d5-887e-4885-b2e6-50d8da756b51</vt:lpwstr>
  </property>
</Properties>
</file>